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IBM Plex Sans" w:cs="IBM Plex Sans" w:eastAsia="IBM Plex Sans" w:hAnsi="IBM Plex Sans"/>
          <w:b w:val="1"/>
          <w:sz w:val="48"/>
          <w:szCs w:val="48"/>
        </w:rPr>
      </w:pPr>
      <w:r w:rsidDel="00000000" w:rsidR="00000000" w:rsidRPr="00000000">
        <w:rPr>
          <w:rtl w:val="0"/>
        </w:rPr>
      </w:r>
    </w:p>
    <w:p w:rsidR="00000000" w:rsidDel="00000000" w:rsidP="00000000" w:rsidRDefault="00000000" w:rsidRPr="00000000" w14:paraId="00000002">
      <w:pPr>
        <w:rPr>
          <w:rFonts w:ascii="IBM Plex Sans" w:cs="IBM Plex Sans" w:eastAsia="IBM Plex Sans" w:hAnsi="IBM Plex Sans"/>
          <w:b w:val="1"/>
          <w:sz w:val="60"/>
          <w:szCs w:val="60"/>
        </w:rPr>
      </w:pPr>
      <w:r w:rsidDel="00000000" w:rsidR="00000000" w:rsidRPr="00000000">
        <w:rPr>
          <w:rFonts w:ascii="IBM Plex Sans" w:cs="IBM Plex Sans" w:eastAsia="IBM Plex Sans" w:hAnsi="IBM Plex Sans"/>
          <w:b w:val="1"/>
          <w:sz w:val="60"/>
          <w:szCs w:val="60"/>
          <w:rtl w:val="0"/>
        </w:rPr>
        <w:t xml:space="preserve">Valuation Appeal Form</w:t>
      </w:r>
    </w:p>
    <w:p w:rsidR="00000000" w:rsidDel="00000000" w:rsidP="00000000" w:rsidRDefault="00000000" w:rsidRPr="00000000" w14:paraId="00000003">
      <w:pPr>
        <w:rPr>
          <w:rFonts w:ascii="IBM Plex Sans" w:cs="IBM Plex Sans" w:eastAsia="IBM Plex Sans" w:hAnsi="IBM Plex Sans"/>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630"/>
        <w:tblGridChange w:id="0">
          <w:tblGrid>
            <w:gridCol w:w="2970"/>
            <w:gridCol w:w="6630"/>
          </w:tblGrid>
        </w:tblGridChange>
      </w:tblGrid>
      <w:tr>
        <w:trPr>
          <w:cantSplit w:val="0"/>
          <w:trHeight w:val="81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Borrower(s)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Property address including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bl>
    <w:p w:rsidR="00000000" w:rsidDel="00000000" w:rsidP="00000000" w:rsidRDefault="00000000" w:rsidRPr="00000000" w14:paraId="0000000A">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IBM Plex Sans" w:cs="IBM Plex Sans" w:eastAsia="IBM Plex Sans" w:hAnsi="IBM Plex Sans"/>
        </w:rPr>
      </w:pPr>
      <w:r w:rsidDel="00000000" w:rsidR="00000000" w:rsidRPr="00000000">
        <w:rPr>
          <w:rFonts w:ascii="IBM Plex Sans" w:cs="IBM Plex Sans" w:eastAsia="IBM Plex Sans" w:hAnsi="IBM Plex Sans"/>
          <w:b w:val="1"/>
          <w:sz w:val="48"/>
          <w:szCs w:val="48"/>
          <w:rtl w:val="0"/>
        </w:rPr>
        <w:t xml:space="preserve">Valuation Appeal Requirements</w:t>
      </w:r>
      <w:r w:rsidDel="00000000" w:rsidR="00000000" w:rsidRPr="00000000">
        <w:rPr>
          <w:rtl w:val="0"/>
        </w:rPr>
      </w:r>
    </w:p>
    <w:p w:rsidR="00000000" w:rsidDel="00000000" w:rsidP="00000000" w:rsidRDefault="00000000" w:rsidRPr="00000000" w14:paraId="0000000D">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Appeals will only be considered where </w:t>
      </w:r>
    </w:p>
    <w:p w:rsidR="00000000" w:rsidDel="00000000" w:rsidP="00000000" w:rsidRDefault="00000000" w:rsidRPr="00000000" w14:paraId="0000000E">
      <w:pPr>
        <w:numPr>
          <w:ilvl w:val="0"/>
          <w:numId w:val="1"/>
        </w:numPr>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there’s a difference of £10,000 or more between the valuation (market value) and the estimated value (purchase price), </w:t>
      </w:r>
    </w:p>
    <w:p w:rsidR="00000000" w:rsidDel="00000000" w:rsidP="00000000" w:rsidRDefault="00000000" w:rsidRPr="00000000" w14:paraId="0000000F">
      <w:pPr>
        <w:numPr>
          <w:ilvl w:val="0"/>
          <w:numId w:val="1"/>
        </w:numPr>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there’s a material impact on the application, product and/or loan amount, and</w:t>
      </w:r>
    </w:p>
    <w:p w:rsidR="00000000" w:rsidDel="00000000" w:rsidP="00000000" w:rsidRDefault="00000000" w:rsidRPr="00000000" w14:paraId="00000010">
      <w:pPr>
        <w:numPr>
          <w:ilvl w:val="0"/>
          <w:numId w:val="1"/>
        </w:numPr>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completed Valuation Appeal Form has been provided to the surveyor by Gen H (third party requests will not be accepted).</w:t>
      </w:r>
    </w:p>
    <w:p w:rsidR="00000000" w:rsidDel="00000000" w:rsidP="00000000" w:rsidRDefault="00000000" w:rsidRPr="00000000" w14:paraId="00000011">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2">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Appeals must be supported by 3 comparable properties that</w:t>
      </w:r>
    </w:p>
    <w:p w:rsidR="00000000" w:rsidDel="00000000" w:rsidP="00000000" w:rsidRDefault="00000000" w:rsidRPr="00000000" w14:paraId="00000013">
      <w:pPr>
        <w:numPr>
          <w:ilvl w:val="0"/>
          <w:numId w:val="2"/>
        </w:numPr>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have been sold within the last 6 months,</w:t>
      </w:r>
    </w:p>
    <w:p w:rsidR="00000000" w:rsidDel="00000000" w:rsidP="00000000" w:rsidRDefault="00000000" w:rsidRPr="00000000" w14:paraId="00000014">
      <w:pPr>
        <w:numPr>
          <w:ilvl w:val="0"/>
          <w:numId w:val="2"/>
        </w:numPr>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are located within a 1-mile radius of the security, and </w:t>
      </w:r>
    </w:p>
    <w:p w:rsidR="00000000" w:rsidDel="00000000" w:rsidP="00000000" w:rsidRDefault="00000000" w:rsidRPr="00000000" w14:paraId="00000015">
      <w:pPr>
        <w:numPr>
          <w:ilvl w:val="0"/>
          <w:numId w:val="2"/>
        </w:numPr>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are of a similar size, type and style.</w:t>
      </w:r>
    </w:p>
    <w:p w:rsidR="00000000" w:rsidDel="00000000" w:rsidP="00000000" w:rsidRDefault="00000000" w:rsidRPr="00000000" w14:paraId="00000016">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7">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Where properties meeting the above criteria are not available, the closest comparables may be provided. </w:t>
      </w:r>
    </w:p>
    <w:p w:rsidR="00000000" w:rsidDel="00000000" w:rsidP="00000000" w:rsidRDefault="00000000" w:rsidRPr="00000000" w14:paraId="00000018">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9">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All details of comparable properties must be completed fully and accurately. If any details are omitted, the appeal will be rejected. Estate Agents’ valuations or properties that are not yet sold cannot be used as a comparable. </w:t>
      </w:r>
    </w:p>
    <w:p w:rsidR="00000000" w:rsidDel="00000000" w:rsidP="00000000" w:rsidRDefault="00000000" w:rsidRPr="00000000" w14:paraId="0000001A">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B">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If the subject property is a newbuild, please supply at least one pre-owned comparable.</w:t>
      </w:r>
    </w:p>
    <w:p w:rsidR="00000000" w:rsidDel="00000000" w:rsidP="00000000" w:rsidRDefault="00000000" w:rsidRPr="00000000" w14:paraId="0000001C">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D">
      <w:pPr>
        <w:rPr>
          <w:rFonts w:ascii="IBM Plex Sans" w:cs="IBM Plex Sans" w:eastAsia="IBM Plex Sans" w:hAnsi="IBM Plex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IBM Plex Sans" w:cs="IBM Plex Sans" w:eastAsia="IBM Plex Sans" w:hAnsi="IBM Plex Sans"/>
          <w:b w:val="1"/>
          <w:sz w:val="28"/>
          <w:szCs w:val="28"/>
        </w:rPr>
      </w:pPr>
      <w:r w:rsidDel="00000000" w:rsidR="00000000" w:rsidRPr="00000000">
        <w:rPr>
          <w:rtl w:val="0"/>
        </w:rPr>
      </w:r>
    </w:p>
    <w:p w:rsidR="00000000" w:rsidDel="00000000" w:rsidP="00000000" w:rsidRDefault="00000000" w:rsidRPr="00000000" w14:paraId="0000001F">
      <w:pPr>
        <w:rPr>
          <w:rFonts w:ascii="IBM Plex Sans" w:cs="IBM Plex Sans" w:eastAsia="IBM Plex Sans" w:hAnsi="IBM Plex Sans"/>
          <w:b w:val="1"/>
          <w:sz w:val="48"/>
          <w:szCs w:val="48"/>
        </w:rPr>
      </w:pPr>
      <w:r w:rsidDel="00000000" w:rsidR="00000000" w:rsidRPr="00000000">
        <w:rPr>
          <w:rFonts w:ascii="IBM Plex Sans" w:cs="IBM Plex Sans" w:eastAsia="IBM Plex Sans" w:hAnsi="IBM Plex Sans"/>
          <w:b w:val="1"/>
          <w:sz w:val="48"/>
          <w:szCs w:val="48"/>
          <w:rtl w:val="0"/>
        </w:rPr>
        <w:t xml:space="preserve">Comparable properties</w:t>
      </w:r>
    </w:p>
    <w:p w:rsidR="00000000" w:rsidDel="00000000" w:rsidP="00000000" w:rsidRDefault="00000000" w:rsidRPr="00000000" w14:paraId="00000020">
      <w:pPr>
        <w:rPr>
          <w:rFonts w:ascii="IBM Plex Sans" w:cs="IBM Plex Sans" w:eastAsia="IBM Plex Sans" w:hAnsi="IBM Plex Sans"/>
        </w:rPr>
      </w:pPr>
      <w:r w:rsidDel="00000000" w:rsidR="00000000" w:rsidRPr="00000000">
        <w:rPr>
          <w:rtl w:val="0"/>
        </w:rPr>
      </w:r>
    </w:p>
    <w:tbl>
      <w:tblPr>
        <w:tblStyle w:val="Table2"/>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990"/>
        <w:gridCol w:w="1530"/>
        <w:gridCol w:w="930"/>
        <w:gridCol w:w="1770"/>
        <w:gridCol w:w="690"/>
        <w:gridCol w:w="2115"/>
        <w:tblGridChange w:id="0">
          <w:tblGrid>
            <w:gridCol w:w="1470"/>
            <w:gridCol w:w="990"/>
            <w:gridCol w:w="1530"/>
            <w:gridCol w:w="930"/>
            <w:gridCol w:w="1770"/>
            <w:gridCol w:w="690"/>
            <w:gridCol w:w="2115"/>
          </w:tblGrid>
        </w:tblGridChange>
      </w:tblGrid>
      <w:tr>
        <w:trPr>
          <w:cantSplit w:val="0"/>
          <w:trHeight w:val="420" w:hRule="atLeast"/>
          <w:tblHeader w:val="0"/>
        </w:trPr>
        <w:tc>
          <w:tcPr>
            <w:tcBorders>
              <w:top w:color="ffffff" w:space="0" w:sz="8" w:val="single"/>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Property 1</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Property 2</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Property 3</w:t>
            </w:r>
          </w:p>
        </w:tc>
      </w:tr>
      <w:tr>
        <w:trPr>
          <w:cantSplit w:val="0"/>
          <w:trHeight w:val="1006"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Address</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Postcode</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Property type</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5.8267716535431" w:firstLine="0"/>
              <w:jc w:val="left"/>
              <w:rPr>
                <w:rFonts w:ascii="IBM Plex Sans" w:cs="IBM Plex Sans" w:eastAsia="IBM Plex Sans" w:hAnsi="IBM Plex Sans"/>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Bedrooms</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Description</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1910.999999999999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Source (including contact details and/or URL)</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Date sold</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Sale price</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t>
            </w:r>
          </w:p>
        </w:tc>
      </w:tr>
    </w:tbl>
    <w:p w:rsidR="00000000" w:rsidDel="00000000" w:rsidP="00000000" w:rsidRDefault="00000000" w:rsidRPr="00000000" w14:paraId="00000060">
      <w:pPr>
        <w:rPr>
          <w:rFonts w:ascii="IBM Plex Sans" w:cs="IBM Plex Sans" w:eastAsia="IBM Plex Sans" w:hAnsi="IBM Plex Sans"/>
          <w:b w:val="1"/>
        </w:rPr>
      </w:pPr>
      <w:r w:rsidDel="00000000" w:rsidR="00000000" w:rsidRPr="00000000">
        <w:rPr>
          <w:rtl w:val="0"/>
        </w:rPr>
      </w:r>
    </w:p>
    <w:tbl>
      <w:tblPr>
        <w:tblStyle w:val="Table3"/>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tblGridChange w:id="0">
          <w:tblGrid>
            <w:gridCol w:w="951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Any further comments in support of the challenge, including your suggested valuation:  </w:t>
            </w:r>
          </w:p>
          <w:p w:rsidR="00000000" w:rsidDel="00000000" w:rsidP="00000000" w:rsidRDefault="00000000" w:rsidRPr="00000000" w14:paraId="00000062">
            <w:pPr>
              <w:rPr>
                <w:rFonts w:ascii="IBM Plex Sans" w:cs="IBM Plex Sans" w:eastAsia="IBM Plex Sans" w:hAnsi="IBM Plex Sans"/>
              </w:rPr>
            </w:pPr>
            <w:r w:rsidDel="00000000" w:rsidR="00000000" w:rsidRPr="00000000">
              <w:rPr>
                <w:rtl w:val="0"/>
              </w:rPr>
            </w:r>
          </w:p>
        </w:tc>
      </w:tr>
    </w:tbl>
    <w:p w:rsidR="00000000" w:rsidDel="00000000" w:rsidP="00000000" w:rsidRDefault="00000000" w:rsidRPr="00000000" w14:paraId="00000063">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64">
      <w:pPr>
        <w:rPr>
          <w:rFonts w:ascii="IBM Plex Sans" w:cs="IBM Plex Sans" w:eastAsia="IBM Plex Sans" w:hAnsi="IBM Plex Sans"/>
          <w:b w:val="1"/>
          <w:sz w:val="48"/>
          <w:szCs w:val="48"/>
        </w:rPr>
      </w:pPr>
      <w:r w:rsidDel="00000000" w:rsidR="00000000" w:rsidRPr="00000000">
        <w:rPr>
          <w:rtl w:val="0"/>
        </w:rPr>
      </w:r>
    </w:p>
    <w:p w:rsidR="00000000" w:rsidDel="00000000" w:rsidP="00000000" w:rsidRDefault="00000000" w:rsidRPr="00000000" w14:paraId="00000065">
      <w:pPr>
        <w:rPr>
          <w:rFonts w:ascii="IBM Plex Sans" w:cs="IBM Plex Sans" w:eastAsia="IBM Plex Sans" w:hAnsi="IBM Plex Sans"/>
          <w:b w:val="1"/>
          <w:sz w:val="48"/>
          <w:szCs w:val="48"/>
        </w:rPr>
      </w:pPr>
      <w:r w:rsidDel="00000000" w:rsidR="00000000" w:rsidRPr="00000000">
        <w:rPr>
          <w:rFonts w:ascii="IBM Plex Sans" w:cs="IBM Plex Sans" w:eastAsia="IBM Plex Sans" w:hAnsi="IBM Plex Sans"/>
          <w:b w:val="1"/>
          <w:sz w:val="48"/>
          <w:szCs w:val="48"/>
          <w:rtl w:val="0"/>
        </w:rPr>
        <w:t xml:space="preserve">Lender requirements</w:t>
      </w:r>
    </w:p>
    <w:p w:rsidR="00000000" w:rsidDel="00000000" w:rsidP="00000000" w:rsidRDefault="00000000" w:rsidRPr="00000000" w14:paraId="00000066">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67">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completed form should be sent via the PVQ process. The form will then be forwarded to the valuer for consideration.</w:t>
      </w:r>
    </w:p>
    <w:p w:rsidR="00000000" w:rsidDel="00000000" w:rsidP="00000000" w:rsidRDefault="00000000" w:rsidRPr="00000000" w14:paraId="00000068">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69">
      <w:pPr>
        <w:rPr>
          <w:rFonts w:ascii="IBM Plex Sans" w:cs="IBM Plex Sans" w:eastAsia="IBM Plex Sans" w:hAnsi="IBM Plex Sans"/>
          <w:b w:val="1"/>
          <w:sz w:val="48"/>
          <w:szCs w:val="48"/>
        </w:rPr>
      </w:pPr>
      <w:r w:rsidDel="00000000" w:rsidR="00000000" w:rsidRPr="00000000">
        <w:rPr>
          <w:rFonts w:ascii="IBM Plex Sans" w:cs="IBM Plex Sans" w:eastAsia="IBM Plex Sans" w:hAnsi="IBM Plex Sans"/>
          <w:b w:val="1"/>
          <w:sz w:val="48"/>
          <w:szCs w:val="48"/>
          <w:rtl w:val="0"/>
        </w:rPr>
        <w:t xml:space="preserve">Valuer review</w:t>
      </w:r>
    </w:p>
    <w:p w:rsidR="00000000" w:rsidDel="00000000" w:rsidP="00000000" w:rsidRDefault="00000000" w:rsidRPr="00000000" w14:paraId="0000006A">
      <w:pPr>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For Valuer use only. </w:t>
      </w:r>
    </w:p>
    <w:p w:rsidR="00000000" w:rsidDel="00000000" w:rsidP="00000000" w:rsidRDefault="00000000" w:rsidRPr="00000000" w14:paraId="0000006B">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Please fully consider the borrower’s comparables above and provide your comments on each below. Please provide a revised opinion of value if appropriate.</w:t>
      </w:r>
    </w:p>
    <w:p w:rsidR="00000000" w:rsidDel="00000000" w:rsidP="00000000" w:rsidRDefault="00000000" w:rsidRPr="00000000" w14:paraId="0000006C">
      <w:pPr>
        <w:rPr>
          <w:rFonts w:ascii="IBM Plex Sans" w:cs="IBM Plex Sans" w:eastAsia="IBM Plex Sans" w:hAnsi="IBM Plex Sans"/>
        </w:rPr>
      </w:pPr>
      <w:r w:rsidDel="00000000" w:rsidR="00000000" w:rsidRPr="00000000">
        <w:rPr>
          <w:rtl w:val="0"/>
        </w:rPr>
      </w:r>
    </w:p>
    <w:tbl>
      <w:tblPr>
        <w:tblStyle w:val="Table4"/>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5565"/>
        <w:tblGridChange w:id="0">
          <w:tblGrid>
            <w:gridCol w:w="4035"/>
            <w:gridCol w:w="55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Comparable 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Comparable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Comparable 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rHeight w:val="934.9804687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Additional comments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Is an amendment to the valuation justified?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If yes, what is the revised valuation?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t>
            </w:r>
          </w:p>
        </w:tc>
      </w:tr>
    </w:tbl>
    <w:p w:rsidR="00000000" w:rsidDel="00000000" w:rsidP="00000000" w:rsidRDefault="00000000" w:rsidRPr="00000000" w14:paraId="00000079">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7A">
      <w:pPr>
        <w:rPr>
          <w:rFonts w:ascii="IBM Plex Sans" w:cs="IBM Plex Sans" w:eastAsia="IBM Plex Sans" w:hAnsi="IBM Plex Sans"/>
        </w:rPr>
      </w:pPr>
      <w:r w:rsidDel="00000000" w:rsidR="00000000" w:rsidRPr="00000000">
        <w:rPr>
          <w:rtl w:val="0"/>
        </w:rPr>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Valuer name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Firm name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IBM Plex Sans" w:cs="IBM Plex Sans" w:eastAsia="IBM Plex Sans" w:hAnsi="IBM Plex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Date of review</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IBM Plex Sans" w:cs="IBM Plex Sans" w:eastAsia="IBM Plex Sans" w:hAnsi="IBM Plex Sans"/>
              </w:rPr>
            </w:pPr>
            <w:r w:rsidDel="00000000" w:rsidR="00000000" w:rsidRPr="00000000">
              <w:rPr>
                <w:rtl w:val="0"/>
              </w:rPr>
            </w:r>
          </w:p>
        </w:tc>
      </w:tr>
    </w:tbl>
    <w:p w:rsidR="00000000" w:rsidDel="00000000" w:rsidP="00000000" w:rsidRDefault="00000000" w:rsidRPr="00000000" w14:paraId="00000081">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82">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Please email the completed form back via the PVQ process. </w:t>
      </w:r>
    </w:p>
    <w:p w:rsidR="00000000" w:rsidDel="00000000" w:rsidP="00000000" w:rsidRDefault="00000000" w:rsidRPr="00000000" w14:paraId="00000083">
      <w:pPr>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Don’t submit an amended mortgage valuation report until authorised.</w:t>
      </w:r>
    </w:p>
    <w:p w:rsidR="00000000" w:rsidDel="00000000" w:rsidP="00000000" w:rsidRDefault="00000000" w:rsidRPr="00000000" w14:paraId="00000084">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85">
      <w:pPr>
        <w:rPr>
          <w:rFonts w:ascii="IBM Plex Sans" w:cs="IBM Plex Sans" w:eastAsia="IBM Plex Sans" w:hAnsi="IBM Plex Sans"/>
        </w:rPr>
      </w:pPr>
      <w:r w:rsidDel="00000000" w:rsidR="00000000" w:rsidRPr="00000000">
        <w:rPr>
          <w:rtl w:val="0"/>
        </w:rPr>
      </w:r>
    </w:p>
    <w:sectPr>
      <w:headerReference r:id="rId6" w:type="default"/>
      <w:pgSz w:h="16838" w:w="11906" w:orient="portrait"/>
      <w:pgMar w:bottom="1133.8582677165355" w:top="1440.000000000000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6">
    <w:pPr>
      <w:rPr/>
    </w:pPr>
    <w:r w:rsidDel="00000000" w:rsidR="00000000" w:rsidRPr="00000000">
      <w:rPr/>
      <w:drawing>
        <wp:inline distB="114300" distT="114300" distL="114300" distR="114300">
          <wp:extent cx="647840"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7840"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